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1550287</wp:posOffset>
            </wp:positionH>
            <wp:positionV relativeFrom="paragraph">
              <wp:posOffset>0</wp:posOffset>
            </wp:positionV>
            <wp:extent cx="3020393" cy="2008913"/>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20393" cy="2008913"/>
                    </a:xfrm>
                    <a:prstGeom prst="rect"/>
                    <a:ln/>
                  </pic:spPr>
                </pic:pic>
              </a:graphicData>
            </a:graphic>
          </wp:anchor>
        </w:drawing>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rPr>
          <w:b w:val="1"/>
          <w:bCs w:val="1"/>
          <w:sz w:val="28"/>
          <w:szCs w:val="28"/>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rtl w:val="0"/>
        </w:rPr>
      </w:r>
    </w:p>
    <w:p w:rsidR="00000000" w:rsidDel="00000000" w:rsidP="00000000" w:rsidRDefault="00000000" w:rsidRPr="00000000" w14:paraId="00000009">
      <w:pPr>
        <w:rPr>
          <w:b w:val="1"/>
          <w:bCs w:val="1"/>
          <w:sz w:val="28"/>
          <w:szCs w:val="28"/>
        </w:rPr>
      </w:pPr>
      <w:r w:rsidDel="00000000" w:rsidR="00000000" w:rsidRPr="00000000">
        <w:rPr>
          <w:rtl w:val="0"/>
        </w:rPr>
      </w:r>
    </w:p>
    <w:p w:rsidR="00000000" w:rsidDel="00000000" w:rsidP="00000000" w:rsidRDefault="00000000" w:rsidRPr="00000000" w14:paraId="0000000A">
      <w:pPr>
        <w:rPr>
          <w:b w:val="1"/>
          <w:bCs w:val="1"/>
          <w:sz w:val="28"/>
          <w:szCs w:val="28"/>
        </w:rPr>
      </w:pPr>
      <w:r w:rsidDel="00000000" w:rsidR="00000000" w:rsidRPr="00000000">
        <w:rPr>
          <w:rtl w:val="0"/>
        </w:rPr>
      </w:r>
    </w:p>
    <w:p w:rsidR="00000000" w:rsidDel="00000000" w:rsidP="00000000" w:rsidRDefault="00000000" w:rsidRPr="00000000" w14:paraId="0000000B">
      <w:pPr>
        <w:rPr>
          <w:b w:val="1"/>
          <w:bCs w:val="1"/>
          <w:sz w:val="28"/>
          <w:szCs w:val="28"/>
        </w:rPr>
      </w:pPr>
      <w:r w:rsidDel="00000000" w:rsidR="00000000" w:rsidRPr="00000000">
        <w:rPr>
          <w:rtl w:val="0"/>
        </w:rPr>
      </w:r>
    </w:p>
    <w:p w:rsidR="00000000" w:rsidDel="00000000" w:rsidP="00000000" w:rsidRDefault="00000000" w:rsidRPr="00000000" w14:paraId="0000000C">
      <w:pPr>
        <w:rPr>
          <w:b w:val="1"/>
          <w:bCs w:val="1"/>
          <w:sz w:val="28"/>
          <w:szCs w:val="28"/>
        </w:rPr>
      </w:pPr>
      <w:r w:rsidDel="00000000" w:rsidR="00000000" w:rsidRPr="00000000">
        <w:rPr>
          <w:rtl w:val="0"/>
        </w:rPr>
      </w:r>
    </w:p>
    <w:p w:rsidR="00000000" w:rsidDel="00000000" w:rsidP="00000000" w:rsidRDefault="00000000" w:rsidRPr="00000000" w14:paraId="0000000D">
      <w:pPr>
        <w:jc w:val="center"/>
        <w:rPr>
          <w:b w:val="1"/>
          <w:bCs w:val="1"/>
          <w:sz w:val="28"/>
          <w:szCs w:val="28"/>
        </w:rPr>
      </w:pPr>
      <w:r w:rsidDel="00000000" w:rsidR="00000000" w:rsidRPr="00000000">
        <w:rPr>
          <w:b w:val="1"/>
          <w:bCs w:val="1"/>
          <w:sz w:val="28"/>
          <w:szCs w:val="28"/>
          <w:rtl w:val="0"/>
        </w:rPr>
        <w:t xml:space="preserve">The T3 Tutoring</w:t>
      </w:r>
    </w:p>
    <w:p w:rsidR="00000000" w:rsidDel="00000000" w:rsidP="00000000" w:rsidRDefault="00000000" w:rsidRPr="00000000" w14:paraId="0000000E">
      <w:pPr>
        <w:jc w:val="center"/>
        <w:rPr>
          <w:b w:val="1"/>
          <w:bCs w:val="1"/>
          <w:sz w:val="28"/>
          <w:szCs w:val="28"/>
        </w:rPr>
      </w:pPr>
      <w:r w:rsidDel="00000000" w:rsidR="00000000" w:rsidRPr="00000000">
        <w:rPr>
          <w:rtl w:val="0"/>
        </w:rPr>
      </w:r>
    </w:p>
    <w:p w:rsidR="00000000" w:rsidDel="00000000" w:rsidP="00000000" w:rsidRDefault="00000000" w:rsidRPr="00000000" w14:paraId="0000000F">
      <w:pPr>
        <w:jc w:val="center"/>
        <w:rPr>
          <w:b w:val="1"/>
          <w:bCs w:val="1"/>
          <w:sz w:val="28"/>
          <w:szCs w:val="28"/>
        </w:rPr>
      </w:pPr>
      <w:r w:rsidDel="00000000" w:rsidR="00000000" w:rsidRPr="00000000">
        <w:rPr>
          <w:b w:val="1"/>
          <w:bCs w:val="1"/>
          <w:sz w:val="28"/>
          <w:szCs w:val="28"/>
          <w:rtl w:val="0"/>
        </w:rPr>
        <w:t xml:space="preserve">ADMISSIONS POLICY</w:t>
      </w:r>
    </w:p>
    <w:p w:rsidR="00000000" w:rsidDel="00000000" w:rsidP="00000000" w:rsidRDefault="00000000" w:rsidRPr="00000000" w14:paraId="00000010">
      <w:pPr>
        <w:jc w:val="center"/>
        <w:rPr>
          <w:b w:val="1"/>
          <w:bCs w:val="1"/>
          <w:sz w:val="28"/>
          <w:szCs w:val="28"/>
        </w:rPr>
      </w:pPr>
      <w:r w:rsidDel="00000000" w:rsidR="00000000" w:rsidRPr="00000000">
        <w:rPr>
          <w:rtl w:val="0"/>
        </w:rPr>
      </w:r>
    </w:p>
    <w:p w:rsidR="00000000" w:rsidDel="00000000" w:rsidP="00000000" w:rsidRDefault="00000000" w:rsidRPr="00000000" w14:paraId="00000011">
      <w:pPr>
        <w:jc w:val="center"/>
        <w:rPr>
          <w:b w:val="1"/>
          <w:bCs w:val="1"/>
          <w:sz w:val="28"/>
          <w:szCs w:val="28"/>
        </w:rPr>
      </w:pPr>
      <w:r w:rsidDel="00000000" w:rsidR="00000000" w:rsidRPr="00000000">
        <w:rPr>
          <w:rtl w:val="0"/>
        </w:rPr>
      </w:r>
    </w:p>
    <w:p w:rsidR="00000000" w:rsidDel="00000000" w:rsidP="00000000" w:rsidRDefault="00000000" w:rsidRPr="00000000" w14:paraId="00000012">
      <w:pPr>
        <w:jc w:val="center"/>
        <w:rPr>
          <w:b w:val="1"/>
          <w:bCs w:val="1"/>
          <w:sz w:val="28"/>
          <w:szCs w:val="28"/>
        </w:rPr>
      </w:pPr>
      <w:r w:rsidDel="00000000" w:rsidR="00000000" w:rsidRPr="00000000">
        <w:rPr>
          <w:b w:val="1"/>
          <w:bCs w:val="1"/>
          <w:sz w:val="28"/>
          <w:szCs w:val="28"/>
          <w:rtl w:val="0"/>
        </w:rPr>
        <w:t xml:space="preserve">To be reviewed</w:t>
      </w:r>
    </w:p>
    <w:p w:rsidR="00000000" w:rsidDel="00000000" w:rsidP="00000000" w:rsidRDefault="00000000" w:rsidRPr="00000000" w14:paraId="00000013">
      <w:pPr>
        <w:jc w:val="center"/>
        <w:rPr>
          <w:b w:val="1"/>
          <w:bCs w:val="1"/>
          <w:sz w:val="28"/>
          <w:szCs w:val="28"/>
        </w:rPr>
      </w:pPr>
      <w:r w:rsidDel="00000000" w:rsidR="00000000" w:rsidRPr="00000000">
        <w:rPr>
          <w:b w:val="1"/>
          <w:bCs w:val="1"/>
          <w:sz w:val="28"/>
          <w:szCs w:val="28"/>
          <w:rtl w:val="0"/>
        </w:rPr>
        <w:t xml:space="preserve">September 2026</w:t>
      </w:r>
    </w:p>
    <w:p w:rsidR="00000000" w:rsidDel="00000000" w:rsidP="00000000" w:rsidRDefault="00000000" w:rsidRPr="00000000" w14:paraId="00000014">
      <w:pPr>
        <w:rPr>
          <w:b w:val="1"/>
          <w:bCs w:val="1"/>
          <w:sz w:val="28"/>
          <w:szCs w:val="28"/>
        </w:rPr>
      </w:pPr>
      <w:r w:rsidDel="00000000" w:rsidR="00000000" w:rsidRPr="00000000">
        <w:rPr>
          <w:rtl w:val="0"/>
        </w:rPr>
      </w:r>
    </w:p>
    <w:p w:rsidR="00000000" w:rsidDel="00000000" w:rsidP="00000000" w:rsidRDefault="00000000" w:rsidRPr="00000000" w14:paraId="00000015">
      <w:pPr>
        <w:rPr>
          <w:b w:val="1"/>
          <w:bCs w:val="1"/>
          <w:sz w:val="28"/>
          <w:szCs w:val="28"/>
        </w:rPr>
      </w:pPr>
      <w:r w:rsidDel="00000000" w:rsidR="00000000" w:rsidRPr="00000000">
        <w:rPr>
          <w:rtl w:val="0"/>
        </w:rPr>
      </w:r>
    </w:p>
    <w:p w:rsidR="00000000" w:rsidDel="00000000" w:rsidP="00000000" w:rsidRDefault="00000000" w:rsidRPr="00000000" w14:paraId="00000016">
      <w:pPr>
        <w:rPr>
          <w:b w:val="1"/>
          <w:bCs w:val="1"/>
          <w:sz w:val="28"/>
          <w:szCs w:val="28"/>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rtl w:val="0"/>
        </w:rPr>
      </w:r>
    </w:p>
    <w:p w:rsidR="00000000" w:rsidDel="00000000" w:rsidP="00000000" w:rsidRDefault="00000000" w:rsidRPr="00000000" w14:paraId="0000001D">
      <w:pPr>
        <w:rPr>
          <w:b w:val="1"/>
          <w:bCs w:val="1"/>
          <w:sz w:val="28"/>
          <w:szCs w:val="28"/>
        </w:rPr>
      </w:pPr>
      <w:r w:rsidDel="00000000" w:rsidR="00000000" w:rsidRPr="00000000">
        <w:rPr>
          <w:rtl w:val="0"/>
        </w:rPr>
      </w:r>
    </w:p>
    <w:p w:rsidR="00000000" w:rsidDel="00000000" w:rsidP="00000000" w:rsidRDefault="00000000" w:rsidRPr="00000000" w14:paraId="0000001E">
      <w:pPr>
        <w:rPr>
          <w:b w:val="1"/>
          <w:bCs w:val="1"/>
          <w:sz w:val="28"/>
          <w:szCs w:val="28"/>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rtl w:val="0"/>
        </w:rPr>
      </w:r>
    </w:p>
    <w:p w:rsidR="00000000" w:rsidDel="00000000" w:rsidP="00000000" w:rsidRDefault="00000000" w:rsidRPr="00000000" w14:paraId="00000020">
      <w:pPr>
        <w:rPr>
          <w:b w:val="1"/>
          <w:bCs w:val="1"/>
          <w:sz w:val="28"/>
          <w:szCs w:val="28"/>
        </w:rPr>
      </w:pPr>
      <w:r w:rsidDel="00000000" w:rsidR="00000000" w:rsidRPr="00000000">
        <w:rPr>
          <w:rtl w:val="0"/>
        </w:rPr>
      </w:r>
    </w:p>
    <w:p w:rsidR="00000000" w:rsidDel="00000000" w:rsidP="00000000" w:rsidRDefault="00000000" w:rsidRPr="00000000" w14:paraId="00000021">
      <w:pPr>
        <w:rPr>
          <w:b w:val="1"/>
          <w:bCs w:val="1"/>
          <w:sz w:val="28"/>
          <w:szCs w:val="28"/>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rtl w:val="0"/>
        </w:rPr>
      </w:r>
    </w:p>
    <w:p w:rsidR="00000000" w:rsidDel="00000000" w:rsidP="00000000" w:rsidRDefault="00000000" w:rsidRPr="00000000" w14:paraId="00000024">
      <w:pPr>
        <w:rPr>
          <w:b w:val="1"/>
          <w:bCs w:val="1"/>
          <w:sz w:val="28"/>
          <w:szCs w:val="28"/>
        </w:rPr>
      </w:pPr>
      <w:r w:rsidDel="00000000" w:rsidR="00000000" w:rsidRPr="00000000">
        <w:rPr>
          <w:rtl w:val="0"/>
        </w:rPr>
      </w:r>
    </w:p>
    <w:p w:rsidR="00000000" w:rsidDel="00000000" w:rsidP="00000000" w:rsidRDefault="00000000" w:rsidRPr="00000000" w14:paraId="00000025">
      <w:pPr>
        <w:rPr>
          <w:b w:val="1"/>
          <w:bCs w:val="1"/>
          <w:sz w:val="28"/>
          <w:szCs w:val="28"/>
        </w:rPr>
      </w:pPr>
      <w:r w:rsidDel="00000000" w:rsidR="00000000" w:rsidRPr="00000000">
        <w:rPr>
          <w:rtl w:val="0"/>
        </w:rPr>
      </w:r>
    </w:p>
    <w:p w:rsidR="00000000" w:rsidDel="00000000" w:rsidP="00000000" w:rsidRDefault="00000000" w:rsidRPr="00000000" w14:paraId="00000026">
      <w:pPr>
        <w:rPr>
          <w:b w:val="1"/>
          <w:bCs w:val="1"/>
          <w:sz w:val="28"/>
          <w:szCs w:val="28"/>
        </w:rPr>
      </w:pPr>
      <w:r w:rsidDel="00000000" w:rsidR="00000000" w:rsidRPr="00000000">
        <w:rPr>
          <w:rtl w:val="0"/>
        </w:rPr>
      </w:r>
    </w:p>
    <w:p w:rsidR="00000000" w:rsidDel="00000000" w:rsidP="00000000" w:rsidRDefault="00000000" w:rsidRPr="00000000" w14:paraId="00000027">
      <w:pPr>
        <w:rPr>
          <w:b w:val="1"/>
          <w:bCs w:val="1"/>
          <w:sz w:val="28"/>
          <w:szCs w:val="28"/>
        </w:rPr>
      </w:pPr>
      <w:r w:rsidDel="00000000" w:rsidR="00000000" w:rsidRPr="00000000">
        <w:rPr>
          <w:rtl w:val="0"/>
        </w:rPr>
      </w:r>
    </w:p>
    <w:p w:rsidR="00000000" w:rsidDel="00000000" w:rsidP="00000000" w:rsidRDefault="00000000" w:rsidRPr="00000000" w14:paraId="00000028">
      <w:pPr>
        <w:rPr>
          <w:b w:val="1"/>
          <w:bCs w:val="1"/>
          <w:sz w:val="28"/>
          <w:szCs w:val="28"/>
        </w:rPr>
      </w:pPr>
      <w:r w:rsidDel="00000000" w:rsidR="00000000" w:rsidRPr="00000000">
        <w:rPr>
          <w:b w:val="1"/>
          <w:bCs w:val="1"/>
          <w:sz w:val="28"/>
          <w:szCs w:val="28"/>
        </w:rPr>
        <w:drawing>
          <wp:anchor allowOverlap="1" behindDoc="0" distB="0" distT="0" distL="114300" distR="114300" hidden="0" layoutInCell="1" locked="0" relativeHeight="0" simplePos="0">
            <wp:simplePos x="0" y="0"/>
            <wp:positionH relativeFrom="page">
              <wp:posOffset>5462588</wp:posOffset>
            </wp:positionH>
            <wp:positionV relativeFrom="page">
              <wp:posOffset>177075</wp:posOffset>
            </wp:positionV>
            <wp:extent cx="1810613" cy="1204268"/>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10613" cy="1204268"/>
                    </a:xfrm>
                    <a:prstGeom prst="rect"/>
                    <a:ln/>
                  </pic:spPr>
                </pic:pic>
              </a:graphicData>
            </a:graphic>
          </wp:anchor>
        </w:drawing>
      </w:r>
      <w:r w:rsidDel="00000000" w:rsidR="00000000" w:rsidRPr="00000000">
        <w:rPr>
          <w:rtl w:val="0"/>
        </w:rPr>
      </w:r>
    </w:p>
    <w:p w:rsidR="00000000" w:rsidDel="00000000" w:rsidP="00000000" w:rsidRDefault="00000000" w:rsidRPr="00000000" w14:paraId="00000029">
      <w:pPr>
        <w:rPr>
          <w:b w:val="1"/>
          <w:bCs w:val="1"/>
          <w:sz w:val="28"/>
          <w:szCs w:val="28"/>
        </w:rPr>
      </w:pPr>
      <w:r w:rsidDel="00000000" w:rsidR="00000000" w:rsidRPr="00000000">
        <w:rPr>
          <w:rtl w:val="0"/>
        </w:rPr>
      </w:r>
    </w:p>
    <w:p w:rsidR="00000000" w:rsidDel="00000000" w:rsidP="00000000" w:rsidRDefault="00000000" w:rsidRPr="00000000" w14:paraId="0000002A">
      <w:pPr>
        <w:rPr>
          <w:b w:val="1"/>
          <w:bCs w:val="1"/>
          <w:sz w:val="28"/>
          <w:szCs w:val="28"/>
        </w:rPr>
      </w:pPr>
      <w:r w:rsidDel="00000000" w:rsidR="00000000" w:rsidRPr="00000000">
        <w:rPr>
          <w:rtl w:val="0"/>
        </w:rPr>
      </w:r>
    </w:p>
    <w:p w:rsidR="00000000" w:rsidDel="00000000" w:rsidP="00000000" w:rsidRDefault="00000000" w:rsidRPr="00000000" w14:paraId="0000002B">
      <w:pPr>
        <w:rPr>
          <w:b w:val="1"/>
          <w:bCs w:val="1"/>
          <w:sz w:val="28"/>
          <w:szCs w:val="28"/>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fleb2ga9kyij" w:id="0"/>
      <w:bookmarkEnd w:id="0"/>
      <w:r w:rsidDel="00000000" w:rsidR="00000000" w:rsidRPr="00000000">
        <w:rPr>
          <w:b w:val="1"/>
          <w:bCs w:val="1"/>
          <w:color w:val="000000"/>
          <w:sz w:val="26"/>
          <w:szCs w:val="26"/>
          <w:rtl w:val="0"/>
        </w:rPr>
        <w:t xml:space="preserve">T3 Tutoring – Admissions Policy</w:t>
      </w:r>
    </w:p>
    <w:p w:rsidR="00000000" w:rsidDel="00000000" w:rsidP="00000000" w:rsidRDefault="00000000" w:rsidRPr="00000000" w14:paraId="0000002D">
      <w:pPr>
        <w:spacing w:after="240" w:before="240" w:lineRule="auto"/>
        <w:rPr>
          <w:sz w:val="24"/>
          <w:szCs w:val="24"/>
        </w:rPr>
      </w:pPr>
      <w:r w:rsidDel="00000000" w:rsidR="00000000" w:rsidRPr="00000000">
        <w:rPr>
          <w:b w:val="1"/>
          <w:bCs w:val="1"/>
          <w:sz w:val="24"/>
          <w:szCs w:val="24"/>
          <w:rtl w:val="0"/>
        </w:rPr>
        <w:t xml:space="preserve">Introduction</w:t>
        <w:br w:type="textWrapping"/>
      </w:r>
      <w:r w:rsidDel="00000000" w:rsidR="00000000" w:rsidRPr="00000000">
        <w:rPr>
          <w:sz w:val="24"/>
          <w:szCs w:val="24"/>
          <w:rtl w:val="0"/>
        </w:rPr>
        <w:t xml:space="preserve"> This policy outlines the admissions arrangements for T3 Tutoring, a specialist tutoring service designed to support young people at risk of permanent exclusion or struggling to thrive in mainstream education. Our approach blends engaging, therapeutic, and educational methods to promote student wellbeing, engagement, and re-engagement with learning.</w:t>
      </w:r>
    </w:p>
    <w:p w:rsidR="00000000" w:rsidDel="00000000" w:rsidP="00000000" w:rsidRDefault="00000000" w:rsidRPr="00000000" w14:paraId="0000002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gvmhggy1wb3g" w:id="1"/>
      <w:bookmarkEnd w:id="1"/>
      <w:r w:rsidDel="00000000" w:rsidR="00000000" w:rsidRPr="00000000">
        <w:rPr>
          <w:b w:val="1"/>
          <w:bCs w:val="1"/>
          <w:color w:val="000000"/>
          <w:sz w:val="26"/>
          <w:szCs w:val="26"/>
          <w:rtl w:val="0"/>
        </w:rPr>
        <w:t xml:space="preserve">Referrals and Enquiries</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Referrals and enquiries should be made directly to:</w:t>
        <w:br w:type="textWrapping"/>
        <w:t xml:space="preserve"> </w:t>
      </w:r>
      <w:r w:rsidDel="00000000" w:rsidR="00000000" w:rsidRPr="00000000">
        <w:rPr>
          <w:b w:val="1"/>
          <w:bCs w:val="1"/>
          <w:sz w:val="24"/>
          <w:szCs w:val="24"/>
          <w:rtl w:val="0"/>
        </w:rPr>
        <w:t xml:space="preserve">Matthew Hatton, Head of Centre</w:t>
        <w:br w:type="textWrapping"/>
      </w:r>
      <w:r w:rsidDel="00000000" w:rsidR="00000000" w:rsidRPr="00000000">
        <w:rPr>
          <w:sz w:val="24"/>
          <w:szCs w:val="24"/>
          <w:rtl w:val="0"/>
        </w:rPr>
        <w:t xml:space="preserve"> 📧 Email: T3tutoringstaff@gmail.com</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We welcome referrals from:</w:t>
      </w:r>
    </w:p>
    <w:p w:rsidR="00000000" w:rsidDel="00000000" w:rsidP="00000000" w:rsidRDefault="00000000" w:rsidRPr="00000000" w14:paraId="00000032">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Schools (mainstream or alternative provisions)</w:t>
        <w:br w:type="textWrapping"/>
      </w:r>
    </w:p>
    <w:p w:rsidR="00000000" w:rsidDel="00000000" w:rsidP="00000000" w:rsidRDefault="00000000" w:rsidRPr="00000000" w14:paraId="00000033">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Local authorities (SEN, Inclusion, or Behaviour Support Teams)</w:t>
        <w:br w:type="textWrapping"/>
      </w:r>
    </w:p>
    <w:p w:rsidR="00000000" w:rsidDel="00000000" w:rsidP="00000000" w:rsidRDefault="00000000" w:rsidRPr="00000000" w14:paraId="00000034">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Parents/carers (including self-funded/private tuition enquiries)</w:t>
        <w:br w:type="textWrapping"/>
      </w:r>
    </w:p>
    <w:p w:rsidR="00000000" w:rsidDel="00000000" w:rsidP="00000000" w:rsidRDefault="00000000" w:rsidRPr="00000000" w14:paraId="00000035">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Other agencies working with children and young people (e.g. social care, youth services)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1oi8gpm4ia1n" w:id="2"/>
      <w:bookmarkEnd w:id="2"/>
      <w:r w:rsidDel="00000000" w:rsidR="00000000" w:rsidRPr="00000000">
        <w:rPr>
          <w:b w:val="1"/>
          <w:bCs w:val="1"/>
          <w:color w:val="000000"/>
          <w:sz w:val="26"/>
          <w:szCs w:val="26"/>
          <w:rtl w:val="0"/>
        </w:rPr>
        <w:t xml:space="preserve">Admissions Process</w:t>
      </w:r>
    </w:p>
    <w:p w:rsidR="00000000" w:rsidDel="00000000" w:rsidP="00000000" w:rsidRDefault="00000000" w:rsidRPr="00000000" w14:paraId="00000037">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Initial Enquiry or Referral</w:t>
        <w:br w:type="textWrapping"/>
      </w:r>
      <w:r w:rsidDel="00000000" w:rsidR="00000000" w:rsidRPr="00000000">
        <w:rPr>
          <w:sz w:val="24"/>
          <w:szCs w:val="24"/>
          <w:rtl w:val="0"/>
        </w:rPr>
        <w:t xml:space="preserve"> Referrers should provide a brief outline of the student's needs, background, and support requirements. This may include (but is not limited to) behaviour logs, SEND information, attendance records, or relevant reports.</w:t>
        <w:br w:type="textWrapping"/>
      </w:r>
    </w:p>
    <w:p w:rsidR="00000000" w:rsidDel="00000000" w:rsidP="00000000" w:rsidRDefault="00000000" w:rsidRPr="00000000" w14:paraId="00000038">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Capacity Check</w:t>
        <w:br w:type="textWrapping"/>
      </w:r>
      <w:r w:rsidDel="00000000" w:rsidR="00000000" w:rsidRPr="00000000">
        <w:rPr>
          <w:sz w:val="24"/>
          <w:szCs w:val="24"/>
          <w:rtl w:val="0"/>
        </w:rPr>
        <w:t xml:space="preserve"> T3 Tutoring operates with a flexible staffing model, but placements are subject to tutor availability and student grouping considerations. We typically support a maximum of 16-20 students per cohort.</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Initial Review</w:t>
        <w:br w:type="textWrapping"/>
      </w:r>
      <w:r w:rsidDel="00000000" w:rsidR="00000000" w:rsidRPr="00000000">
        <w:rPr>
          <w:sz w:val="24"/>
          <w:szCs w:val="24"/>
          <w:rtl w:val="0"/>
        </w:rPr>
        <w:t xml:space="preserve"> Once initial documents are received, the Head of Centre will review the referral and determine whether a placement may be suitable. Additional information may be requested at this stage.</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Visit/Introductory Meeting</w:t>
        <w:br w:type="textWrapping"/>
      </w:r>
      <w:r w:rsidDel="00000000" w:rsidR="00000000" w:rsidRPr="00000000">
        <w:rPr>
          <w:sz w:val="24"/>
          <w:szCs w:val="24"/>
          <w:rtl w:val="0"/>
        </w:rPr>
        <w:t xml:space="preserve"> Where a potential fit is identified, we invite the student and their parent/carer to visit a tutoring location or meet with our team (in person or online). The referring school or agency is welcome to attend. This gives all parties a chance to explore suitability and expectations.</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Offer of Placement</w:t>
        <w:br w:type="textWrapping"/>
      </w:r>
      <w:r w:rsidDel="00000000" w:rsidR="00000000" w:rsidRPr="00000000">
        <w:rPr>
          <w:sz w:val="24"/>
          <w:szCs w:val="24"/>
          <w:rtl w:val="0"/>
        </w:rPr>
        <w:t xml:space="preserve"> If a placement is agreed, an offer will be made in writing. Start dates and a bespoke programme will then be arranged in consultation with the referring party and family.</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Onboarding</w:t>
        <w:br w:type="textWrapping"/>
      </w:r>
      <w:r w:rsidDel="00000000" w:rsidR="00000000" w:rsidRPr="00000000">
        <w:rPr>
          <w:sz w:val="24"/>
          <w:szCs w:val="24"/>
          <w:rtl w:val="0"/>
        </w:rPr>
        <w:t xml:space="preserve"> Upon acceptance, we issue a Service Agreement outlining:</w:t>
        <w:br w:type="textWrapping"/>
      </w:r>
    </w:p>
    <w:p w:rsidR="00000000" w:rsidDel="00000000" w:rsidP="00000000" w:rsidRDefault="00000000" w:rsidRPr="00000000" w14:paraId="0000003D">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Aims and objectives of the placement</w:t>
        <w:br w:type="textWrapping"/>
      </w:r>
    </w:p>
    <w:p w:rsidR="00000000" w:rsidDel="00000000" w:rsidP="00000000" w:rsidRDefault="00000000" w:rsidRPr="00000000" w14:paraId="0000003E">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Session schedule and delivery method (in-person or remote)</w:t>
        <w:br w:type="textWrapping"/>
      </w:r>
    </w:p>
    <w:p w:rsidR="00000000" w:rsidDel="00000000" w:rsidP="00000000" w:rsidRDefault="00000000" w:rsidRPr="00000000" w14:paraId="0000003F">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Review and communication expectations</w:t>
        <w:br w:type="textWrapping"/>
      </w:r>
    </w:p>
    <w:p w:rsidR="00000000" w:rsidDel="00000000" w:rsidP="00000000" w:rsidRDefault="00000000" w:rsidRPr="00000000" w14:paraId="00000040">
      <w:pPr>
        <w:numPr>
          <w:ilvl w:val="1"/>
          <w:numId w:val="1"/>
        </w:numPr>
        <w:spacing w:after="240" w:before="0" w:beforeAutospacing="0" w:lineRule="auto"/>
        <w:ind w:left="1440" w:hanging="360"/>
        <w:rPr>
          <w:sz w:val="24"/>
          <w:szCs w:val="24"/>
        </w:rPr>
      </w:pPr>
      <w:r w:rsidDel="00000000" w:rsidR="00000000" w:rsidRPr="00000000">
        <w:rPr>
          <w:sz w:val="24"/>
          <w:szCs w:val="24"/>
          <w:rtl w:val="0"/>
        </w:rPr>
        <w:t xml:space="preserve">Agreed fees and payment terms (where applicable)</w:t>
        <w:br w:type="textWrapping"/>
      </w:r>
    </w:p>
    <w:p w:rsidR="00000000" w:rsidDel="00000000" w:rsidP="00000000" w:rsidRDefault="00000000" w:rsidRPr="00000000" w14:paraId="0000004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5h0vy9x16edl" w:id="3"/>
      <w:bookmarkEnd w:id="3"/>
      <w:r w:rsidDel="00000000" w:rsidR="00000000" w:rsidRPr="00000000">
        <w:rPr>
          <w:b w:val="1"/>
          <w:bCs w:val="1"/>
          <w:color w:val="000000"/>
          <w:sz w:val="26"/>
          <w:szCs w:val="26"/>
          <w:rtl w:val="0"/>
        </w:rPr>
        <w:t xml:space="preserve">Placement Considerations</w:t>
      </w:r>
    </w:p>
    <w:p w:rsidR="00000000" w:rsidDel="00000000" w:rsidP="00000000" w:rsidRDefault="00000000" w:rsidRPr="00000000" w14:paraId="00000043">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Suitability</w:t>
      </w:r>
      <w:r w:rsidDel="00000000" w:rsidR="00000000" w:rsidRPr="00000000">
        <w:rPr>
          <w:sz w:val="24"/>
          <w:szCs w:val="24"/>
          <w:rtl w:val="0"/>
        </w:rPr>
        <w:t xml:space="preserve">: All placements are offered on the basis that the student’s needs can be reasonably met within our model.</w:t>
        <w:br w:type="textWrapping"/>
      </w:r>
    </w:p>
    <w:p w:rsidR="00000000" w:rsidDel="00000000" w:rsidP="00000000" w:rsidRDefault="00000000" w:rsidRPr="00000000" w14:paraId="00000044">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Distance</w:t>
      </w:r>
      <w:r w:rsidDel="00000000" w:rsidR="00000000" w:rsidRPr="00000000">
        <w:rPr>
          <w:sz w:val="24"/>
          <w:szCs w:val="24"/>
          <w:rtl w:val="0"/>
        </w:rPr>
        <w:t xml:space="preserve">: Travel distance to/from tutoring is not used as an admissions criterion.</w:t>
        <w:br w:type="textWrapping"/>
      </w:r>
    </w:p>
    <w:p w:rsidR="00000000" w:rsidDel="00000000" w:rsidP="00000000" w:rsidRDefault="00000000" w:rsidRPr="00000000" w14:paraId="00000045">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Siblings</w:t>
      </w:r>
      <w:r w:rsidDel="00000000" w:rsidR="00000000" w:rsidRPr="00000000">
        <w:rPr>
          <w:sz w:val="24"/>
          <w:szCs w:val="24"/>
          <w:rtl w:val="0"/>
        </w:rPr>
        <w:t xml:space="preserve">: We generally do not place siblings together unless clear educational benefits can be demonstrated.</w:t>
        <w:br w:type="textWrapping"/>
      </w:r>
    </w:p>
    <w:p w:rsidR="00000000" w:rsidDel="00000000" w:rsidP="00000000" w:rsidRDefault="00000000" w:rsidRPr="00000000" w14:paraId="00000046">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Fixed-term or Rolling Placements</w:t>
      </w:r>
      <w:r w:rsidDel="00000000" w:rsidR="00000000" w:rsidRPr="00000000">
        <w:rPr>
          <w:sz w:val="24"/>
          <w:szCs w:val="24"/>
          <w:rtl w:val="0"/>
        </w:rPr>
        <w:t xml:space="preserve">: We accept both short-term (e.g., 6-week reintegration programmes) and longer-term arrangements.</w:t>
        <w:br w:type="textWrapping"/>
      </w:r>
    </w:p>
    <w:p w:rsidR="00000000" w:rsidDel="00000000" w:rsidP="00000000" w:rsidRDefault="00000000" w:rsidRPr="00000000" w14:paraId="0000004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color w:val="000000"/>
          <w:sz w:val="26"/>
          <w:szCs w:val="26"/>
        </w:rPr>
      </w:pPr>
      <w:r w:rsidDel="00000000" w:rsidR="00000000" w:rsidRPr="00000000">
        <w:rPr>
          <w:b w:val="1"/>
          <w:bCs w:val="1"/>
          <w:color w:val="000000"/>
          <w:sz w:val="26"/>
          <w:szCs w:val="26"/>
          <w:rtl w:val="0"/>
        </w:rPr>
        <w:t xml:space="preserve">Private/Parent-Funded Placements</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T3 Tutoring accepts private referrals from families seeking additional or alternative support for their child. Please contact the Head of Centre to arrange a consultation.</w:t>
      </w:r>
    </w:p>
    <w:p w:rsidR="00000000" w:rsidDel="00000000" w:rsidP="00000000" w:rsidRDefault="00000000" w:rsidRPr="00000000" w14:paraId="0000004B">
      <w:pPr>
        <w:ind w:left="0" w:firstLine="0"/>
        <w:rPr>
          <w:b w:val="1"/>
          <w:bCs w:val="1"/>
          <w:sz w:val="28"/>
          <w:szCs w:val="28"/>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bl>
      <w:tblPr>
        <w:tblStyle w:val="Table1"/>
        <w:tblW w:w="10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
        <w:gridCol w:w="4420"/>
        <w:gridCol w:w="2480"/>
        <w:tblGridChange w:id="0">
          <w:tblGrid>
            <w:gridCol w:w="3880"/>
            <w:gridCol w:w="4420"/>
            <w:gridCol w:w="2480"/>
          </w:tblGrid>
        </w:tblGridChange>
      </w:tblGrid>
      <w:tr>
        <w:trPr>
          <w:cantSplit w:val="0"/>
          <w:trHeight w:val="936.6560253107212"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34"/>
                <w:szCs w:val="34"/>
              </w:rPr>
            </w:pPr>
            <w:r w:rsidDel="00000000" w:rsidR="00000000" w:rsidRPr="00000000">
              <w:rPr>
                <w:b w:val="1"/>
                <w:bCs w:val="1"/>
                <w:sz w:val="34"/>
                <w:szCs w:val="34"/>
                <w:rtl w:val="0"/>
              </w:rPr>
              <w:t xml:space="preserve">PRINT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34"/>
                <w:szCs w:val="34"/>
              </w:rPr>
            </w:pPr>
            <w:r w:rsidDel="00000000" w:rsidR="00000000" w:rsidRPr="00000000">
              <w:rPr>
                <w:b w:val="1"/>
                <w:bCs w:val="1"/>
                <w:sz w:val="34"/>
                <w:szCs w:val="34"/>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34"/>
                <w:szCs w:val="34"/>
              </w:rPr>
            </w:pPr>
            <w:r w:rsidDel="00000000" w:rsidR="00000000" w:rsidRPr="00000000">
              <w:rPr>
                <w:b w:val="1"/>
                <w:bCs w:val="1"/>
                <w:sz w:val="34"/>
                <w:szCs w:val="34"/>
                <w:rtl w:val="0"/>
              </w:rPr>
              <w:t xml:space="preserve">DATE</w:t>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r>
      <w:tr>
        <w:trPr>
          <w:cantSplit w:val="0"/>
          <w:trHeight w:val="721.5899755269991"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r>
    </w:tbl>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ind w:left="0" w:firstLine="0"/>
        <w:rPr>
          <w:sz w:val="24"/>
          <w:szCs w:val="24"/>
        </w:rPr>
      </w:pPr>
      <w:r w:rsidDel="00000000" w:rsidR="00000000" w:rsidRPr="00000000">
        <w:rPr>
          <w:rtl w:val="0"/>
        </w:rPr>
      </w:r>
    </w:p>
    <w:sectPr>
      <w:headerReference r:id="rId7"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